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C2" w:rsidRDefault="00091CB7">
      <w:pPr>
        <w:pStyle w:val="Ttulo"/>
        <w:rPr>
          <w:color w:val="000000"/>
          <w:sz w:val="36"/>
        </w:rPr>
      </w:pPr>
      <w:r>
        <w:rPr>
          <w:color w:val="000000"/>
          <w:sz w:val="36"/>
        </w:rPr>
        <w:t>1º-2º SECUNDARIA</w:t>
      </w:r>
    </w:p>
    <w:p w:rsidR="009A53C2" w:rsidRDefault="009A53C2">
      <w:pPr>
        <w:autoSpaceDE w:val="0"/>
        <w:autoSpaceDN w:val="0"/>
        <w:adjustRightInd w:val="0"/>
        <w:jc w:val="both"/>
        <w:rPr>
          <w:color w:val="000000"/>
          <w:szCs w:val="27"/>
          <w:lang w:val="es-ES"/>
        </w:rPr>
      </w:pPr>
    </w:p>
    <w:p w:rsidR="009A53C2" w:rsidRDefault="009A53C2">
      <w:pPr>
        <w:autoSpaceDE w:val="0"/>
        <w:autoSpaceDN w:val="0"/>
        <w:adjustRightInd w:val="0"/>
        <w:jc w:val="both"/>
        <w:rPr>
          <w:b/>
          <w:bCs/>
          <w:color w:val="000000"/>
          <w:sz w:val="36"/>
          <w:szCs w:val="36"/>
          <w:lang w:val="es-ES"/>
        </w:rPr>
      </w:pPr>
      <w:proofErr w:type="spellStart"/>
      <w:r>
        <w:rPr>
          <w:b/>
          <w:bCs/>
          <w:color w:val="000000"/>
          <w:sz w:val="36"/>
          <w:szCs w:val="36"/>
          <w:lang w:val="es-ES"/>
        </w:rPr>
        <w:t>Puk</w:t>
      </w:r>
      <w:proofErr w:type="spellEnd"/>
      <w:r>
        <w:rPr>
          <w:b/>
          <w:bCs/>
          <w:color w:val="000000"/>
          <w:sz w:val="36"/>
          <w:szCs w:val="36"/>
          <w:lang w:val="es-ES"/>
        </w:rPr>
        <w:t xml:space="preserve"> y el muro</w:t>
      </w:r>
    </w:p>
    <w:p w:rsidR="009A53C2" w:rsidRDefault="009A53C2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val="es-ES"/>
        </w:rPr>
      </w:pPr>
      <w:r>
        <w:rPr>
          <w:b/>
          <w:bCs/>
          <w:i/>
          <w:color w:val="000000"/>
          <w:lang w:val="es-ES"/>
        </w:rPr>
        <w:t>“Para conseguir la paz hay que desnudarse de alguna cosa, no sólo de las armas. Quizás de privilegios, de excedentes, de injusticias, de ambiciones, de afán de protagonismo”</w:t>
      </w:r>
    </w:p>
    <w:p w:rsidR="009A53C2" w:rsidRDefault="009A53C2">
      <w:pPr>
        <w:pStyle w:val="Ttulo2"/>
        <w:rPr>
          <w:sz w:val="20"/>
          <w:szCs w:val="20"/>
        </w:rPr>
      </w:pPr>
      <w:r>
        <w:t>Vera Grabe. Antropóloga e Investigadora del Observatorio por la Paz</w:t>
      </w:r>
    </w:p>
    <w:p w:rsidR="009A53C2" w:rsidRDefault="009A53C2">
      <w:pPr>
        <w:jc w:val="both"/>
        <w:rPr>
          <w:color w:val="000000"/>
          <w:lang w:val="es-ES"/>
        </w:rPr>
      </w:pPr>
    </w:p>
    <w:p w:rsidR="009A53C2" w:rsidRDefault="009A53C2">
      <w:pPr>
        <w:pStyle w:val="Ttulo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Objetivos</w:t>
      </w:r>
    </w:p>
    <w:p w:rsidR="009A53C2" w:rsidRDefault="009A53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es-ES"/>
        </w:rPr>
      </w:pPr>
      <w:r>
        <w:rPr>
          <w:szCs w:val="19"/>
          <w:lang w:val="es-ES"/>
        </w:rPr>
        <w:t xml:space="preserve">Mostrar la necesidad de mantener una actitud activa y responsable frente a situaciones de violencia e injusticia como medio para garantizar la </w:t>
      </w:r>
      <w:r w:rsidR="007C4C48">
        <w:rPr>
          <w:szCs w:val="19"/>
          <w:lang w:val="es-ES"/>
        </w:rPr>
        <w:t>paz.</w:t>
      </w:r>
    </w:p>
    <w:p w:rsidR="009A53C2" w:rsidRDefault="009A53C2">
      <w:pPr>
        <w:autoSpaceDE w:val="0"/>
        <w:autoSpaceDN w:val="0"/>
        <w:adjustRightInd w:val="0"/>
        <w:jc w:val="both"/>
        <w:rPr>
          <w:bCs/>
          <w:color w:val="000000"/>
          <w:lang w:val="es-ES"/>
        </w:rPr>
      </w:pPr>
      <w:bookmarkStart w:id="0" w:name="_GoBack"/>
      <w:bookmarkEnd w:id="0"/>
    </w:p>
    <w:p w:rsidR="009A53C2" w:rsidRDefault="009A53C2">
      <w:pPr>
        <w:autoSpaceDE w:val="0"/>
        <w:autoSpaceDN w:val="0"/>
        <w:adjustRightInd w:val="0"/>
        <w:jc w:val="both"/>
        <w:rPr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>Dinámica</w:t>
      </w:r>
    </w:p>
    <w:p w:rsidR="009A53C2" w:rsidRDefault="009A53C2">
      <w:pPr>
        <w:autoSpaceDE w:val="0"/>
        <w:autoSpaceDN w:val="0"/>
        <w:adjustRightInd w:val="0"/>
        <w:ind w:firstLine="708"/>
        <w:jc w:val="both"/>
        <w:rPr>
          <w:szCs w:val="19"/>
          <w:lang w:val="es-ES"/>
        </w:rPr>
      </w:pPr>
      <w:r>
        <w:rPr>
          <w:szCs w:val="19"/>
          <w:lang w:val="es-ES"/>
        </w:rPr>
        <w:t>La dinámica propuesta se compone de dos partes complementarias:</w:t>
      </w:r>
    </w:p>
    <w:p w:rsidR="009A53C2" w:rsidRDefault="009A53C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19"/>
          <w:lang w:val="es-ES"/>
        </w:rPr>
      </w:pPr>
      <w:r>
        <w:rPr>
          <w:szCs w:val="19"/>
          <w:lang w:val="es-ES"/>
        </w:rPr>
        <w:t>En primer lugar, se propone el análisis de una historia ficticia, “</w:t>
      </w:r>
      <w:proofErr w:type="spellStart"/>
      <w:r>
        <w:rPr>
          <w:szCs w:val="19"/>
          <w:lang w:val="es-ES"/>
        </w:rPr>
        <w:t>Puk</w:t>
      </w:r>
      <w:proofErr w:type="spellEnd"/>
      <w:r>
        <w:rPr>
          <w:szCs w:val="19"/>
          <w:lang w:val="es-ES"/>
        </w:rPr>
        <w:t xml:space="preserve"> y el muro”, que de forma simbólica nos invita a caminar hacia una convivencia más pacífica y comprometida.</w:t>
      </w:r>
    </w:p>
    <w:p w:rsidR="009A53C2" w:rsidRDefault="009A53C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19"/>
          <w:lang w:val="es-ES"/>
        </w:rPr>
      </w:pPr>
      <w:r>
        <w:rPr>
          <w:szCs w:val="19"/>
          <w:lang w:val="es-ES"/>
        </w:rPr>
        <w:t>En segundo lugar, se propone el análisis de situaciones de violencia e injusticia</w:t>
      </w:r>
      <w:r w:rsidR="00091CB7">
        <w:rPr>
          <w:szCs w:val="19"/>
          <w:lang w:val="es-ES"/>
        </w:rPr>
        <w:t>, los muros</w:t>
      </w:r>
      <w:r>
        <w:rPr>
          <w:szCs w:val="19"/>
          <w:lang w:val="es-ES"/>
        </w:rPr>
        <w:t xml:space="preserve"> que impiden la construcción de un mundo más pacífico y justo. A modo de conclusión, se </w:t>
      </w:r>
      <w:r w:rsidR="00091CB7">
        <w:rPr>
          <w:szCs w:val="19"/>
          <w:lang w:val="es-ES"/>
        </w:rPr>
        <w:t>pide</w:t>
      </w:r>
      <w:r>
        <w:rPr>
          <w:szCs w:val="19"/>
          <w:lang w:val="es-ES"/>
        </w:rPr>
        <w:t xml:space="preserve"> imaginar soluciones para fomentar una “cultura de paz”.</w:t>
      </w:r>
    </w:p>
    <w:p w:rsidR="009A53C2" w:rsidRDefault="009A53C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s-ES"/>
        </w:rPr>
      </w:pPr>
    </w:p>
    <w:p w:rsidR="009A53C2" w:rsidRDefault="009A53C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Cs w:val="22"/>
          <w:lang w:val="es-ES"/>
        </w:rPr>
      </w:pPr>
      <w:r>
        <w:rPr>
          <w:b/>
          <w:bCs/>
          <w:szCs w:val="22"/>
          <w:lang w:val="es-ES"/>
        </w:rPr>
        <w:t>“</w:t>
      </w:r>
      <w:proofErr w:type="spellStart"/>
      <w:r>
        <w:rPr>
          <w:b/>
          <w:bCs/>
          <w:szCs w:val="22"/>
          <w:lang w:val="es-ES"/>
        </w:rPr>
        <w:t>Puk</w:t>
      </w:r>
      <w:proofErr w:type="spellEnd"/>
      <w:r>
        <w:rPr>
          <w:b/>
          <w:bCs/>
          <w:szCs w:val="22"/>
          <w:lang w:val="es-ES"/>
        </w:rPr>
        <w:t xml:space="preserve"> y el muro”</w:t>
      </w:r>
    </w:p>
    <w:p w:rsidR="009A53C2" w:rsidRPr="00091CB7" w:rsidRDefault="009A53C2">
      <w:pPr>
        <w:autoSpaceDE w:val="0"/>
        <w:autoSpaceDN w:val="0"/>
        <w:adjustRightInd w:val="0"/>
        <w:ind w:firstLine="340"/>
        <w:jc w:val="both"/>
        <w:rPr>
          <w:szCs w:val="19"/>
          <w:lang w:val="es-ES"/>
        </w:rPr>
      </w:pPr>
      <w:r>
        <w:rPr>
          <w:szCs w:val="16"/>
          <w:lang w:val="es-ES"/>
        </w:rPr>
        <w:t xml:space="preserve">La </w:t>
      </w:r>
      <w:r w:rsidR="00091CB7">
        <w:rPr>
          <w:szCs w:val="16"/>
          <w:lang w:val="es-ES"/>
        </w:rPr>
        <w:t>historia</w:t>
      </w:r>
      <w:r>
        <w:rPr>
          <w:szCs w:val="16"/>
          <w:lang w:val="es-ES"/>
        </w:rPr>
        <w:t xml:space="preserve"> de “</w:t>
      </w:r>
      <w:proofErr w:type="spellStart"/>
      <w:r>
        <w:rPr>
          <w:szCs w:val="16"/>
          <w:lang w:val="es-ES"/>
        </w:rPr>
        <w:t>Puk</w:t>
      </w:r>
      <w:proofErr w:type="spellEnd"/>
      <w:r>
        <w:rPr>
          <w:szCs w:val="16"/>
          <w:lang w:val="es-ES"/>
        </w:rPr>
        <w:t xml:space="preserve"> y el muro” está disponible en</w:t>
      </w:r>
      <w:r w:rsidRPr="00E914E6">
        <w:rPr>
          <w:color w:val="FF0000"/>
          <w:szCs w:val="16"/>
          <w:lang w:val="es-ES"/>
        </w:rPr>
        <w:t xml:space="preserve"> </w:t>
      </w:r>
      <w:r w:rsidR="00091CB7" w:rsidRPr="00091CB7">
        <w:rPr>
          <w:szCs w:val="16"/>
          <w:lang w:val="es-ES"/>
        </w:rPr>
        <w:t>un vídeo adjunto, en formato mp4</w:t>
      </w:r>
      <w:r w:rsidR="00091CB7">
        <w:rPr>
          <w:szCs w:val="16"/>
          <w:lang w:val="es-ES"/>
        </w:rPr>
        <w:t>.</w:t>
      </w:r>
    </w:p>
    <w:p w:rsidR="009A53C2" w:rsidRDefault="009A53C2">
      <w:pPr>
        <w:autoSpaceDE w:val="0"/>
        <w:autoSpaceDN w:val="0"/>
        <w:adjustRightInd w:val="0"/>
        <w:ind w:firstLine="340"/>
        <w:jc w:val="both"/>
        <w:rPr>
          <w:szCs w:val="16"/>
          <w:lang w:val="es-ES"/>
        </w:rPr>
      </w:pPr>
      <w:r>
        <w:rPr>
          <w:szCs w:val="19"/>
          <w:lang w:val="es-ES"/>
        </w:rPr>
        <w:t>Tras su visualización, se invitará al alumnado a responder a las siguientes preguntas:</w:t>
      </w:r>
    </w:p>
    <w:p w:rsidR="009A53C2" w:rsidRDefault="009A53C2">
      <w:pPr>
        <w:autoSpaceDE w:val="0"/>
        <w:autoSpaceDN w:val="0"/>
        <w:adjustRightInd w:val="0"/>
        <w:jc w:val="both"/>
        <w:rPr>
          <w:szCs w:val="19"/>
          <w:lang w:val="es-ES"/>
        </w:rPr>
      </w:pPr>
      <w:r>
        <w:rPr>
          <w:szCs w:val="19"/>
          <w:lang w:val="es-ES"/>
        </w:rPr>
        <w:t xml:space="preserve">1. </w:t>
      </w:r>
      <w:r w:rsidR="00EA6257">
        <w:rPr>
          <w:szCs w:val="19"/>
          <w:lang w:val="es-ES"/>
        </w:rPr>
        <w:t>¿Crees</w:t>
      </w:r>
      <w:r>
        <w:rPr>
          <w:szCs w:val="19"/>
          <w:lang w:val="es-ES"/>
        </w:rPr>
        <w:t xml:space="preserve"> que aquel muro protegía la ciudad?</w:t>
      </w:r>
    </w:p>
    <w:p w:rsidR="009A53C2" w:rsidRDefault="009A53C2">
      <w:pPr>
        <w:autoSpaceDE w:val="0"/>
        <w:autoSpaceDN w:val="0"/>
        <w:adjustRightInd w:val="0"/>
        <w:jc w:val="both"/>
        <w:rPr>
          <w:szCs w:val="19"/>
          <w:lang w:val="es-ES"/>
        </w:rPr>
      </w:pPr>
      <w:r>
        <w:rPr>
          <w:szCs w:val="19"/>
          <w:lang w:val="es-ES"/>
        </w:rPr>
        <w:t>2. ¿Es necesario un muro para protegernos?</w:t>
      </w:r>
    </w:p>
    <w:p w:rsidR="009A53C2" w:rsidRDefault="009A53C2">
      <w:pPr>
        <w:autoSpaceDE w:val="0"/>
        <w:autoSpaceDN w:val="0"/>
        <w:adjustRightInd w:val="0"/>
        <w:jc w:val="both"/>
        <w:rPr>
          <w:szCs w:val="19"/>
          <w:lang w:val="es-ES"/>
        </w:rPr>
      </w:pPr>
      <w:r>
        <w:rPr>
          <w:szCs w:val="19"/>
          <w:lang w:val="es-ES"/>
        </w:rPr>
        <w:t xml:space="preserve">3. ¿Por qué crees que cuando </w:t>
      </w:r>
      <w:proofErr w:type="spellStart"/>
      <w:r>
        <w:rPr>
          <w:szCs w:val="19"/>
          <w:lang w:val="es-ES"/>
        </w:rPr>
        <w:t>Puk</w:t>
      </w:r>
      <w:proofErr w:type="spellEnd"/>
      <w:r>
        <w:rPr>
          <w:szCs w:val="19"/>
          <w:lang w:val="es-ES"/>
        </w:rPr>
        <w:t xml:space="preserve"> les pide a los gobernantes que derriben el muro, ellos no le hacen caso?</w:t>
      </w:r>
    </w:p>
    <w:p w:rsidR="009A53C2" w:rsidRDefault="009A53C2">
      <w:pPr>
        <w:pStyle w:val="Textoindependiente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4. ¿Cuál es la solución que dan los gobernantes cada vez que </w:t>
      </w:r>
      <w:proofErr w:type="spellStart"/>
      <w:r>
        <w:rPr>
          <w:rFonts w:ascii="Times New Roman" w:hAnsi="Times New Roman"/>
          <w:color w:val="auto"/>
          <w:sz w:val="24"/>
        </w:rPr>
        <w:t>Puk</w:t>
      </w:r>
      <w:proofErr w:type="spellEnd"/>
      <w:r>
        <w:rPr>
          <w:rFonts w:ascii="Times New Roman" w:hAnsi="Times New Roman"/>
          <w:color w:val="auto"/>
          <w:sz w:val="24"/>
        </w:rPr>
        <w:t xml:space="preserve"> les hace</w:t>
      </w:r>
      <w:r w:rsidR="00091CB7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 xml:space="preserve">una petición? ¿Crees que </w:t>
      </w:r>
      <w:r w:rsidR="00EA6257">
        <w:rPr>
          <w:rFonts w:ascii="Times New Roman" w:hAnsi="Times New Roman"/>
          <w:color w:val="auto"/>
          <w:sz w:val="24"/>
        </w:rPr>
        <w:t>podría</w:t>
      </w:r>
      <w:r>
        <w:rPr>
          <w:rFonts w:ascii="Times New Roman" w:hAnsi="Times New Roman"/>
          <w:color w:val="auto"/>
          <w:sz w:val="24"/>
        </w:rPr>
        <w:t xml:space="preserve"> haber otras soluciones?</w:t>
      </w:r>
    </w:p>
    <w:p w:rsidR="009A53C2" w:rsidRDefault="009A53C2">
      <w:pPr>
        <w:autoSpaceDE w:val="0"/>
        <w:autoSpaceDN w:val="0"/>
        <w:adjustRightInd w:val="0"/>
        <w:jc w:val="both"/>
        <w:rPr>
          <w:szCs w:val="19"/>
          <w:lang w:val="es-ES"/>
        </w:rPr>
      </w:pPr>
      <w:r>
        <w:rPr>
          <w:szCs w:val="19"/>
          <w:lang w:val="es-ES"/>
        </w:rPr>
        <w:t>5. ¿Te parece que los señores que gobiernan aquella ciudad están contentos y felices?</w:t>
      </w:r>
    </w:p>
    <w:p w:rsidR="009A53C2" w:rsidRDefault="009A53C2">
      <w:pPr>
        <w:autoSpaceDE w:val="0"/>
        <w:autoSpaceDN w:val="0"/>
        <w:adjustRightInd w:val="0"/>
        <w:jc w:val="both"/>
        <w:rPr>
          <w:szCs w:val="19"/>
          <w:lang w:val="es-ES"/>
        </w:rPr>
      </w:pPr>
      <w:r>
        <w:rPr>
          <w:szCs w:val="19"/>
          <w:lang w:val="es-ES"/>
        </w:rPr>
        <w:t xml:space="preserve">6. Si tú fueses </w:t>
      </w:r>
      <w:proofErr w:type="spellStart"/>
      <w:r>
        <w:rPr>
          <w:szCs w:val="19"/>
          <w:lang w:val="es-ES"/>
        </w:rPr>
        <w:t>Puk</w:t>
      </w:r>
      <w:proofErr w:type="spellEnd"/>
      <w:r>
        <w:rPr>
          <w:szCs w:val="19"/>
          <w:lang w:val="es-ES"/>
        </w:rPr>
        <w:t>, ¿</w:t>
      </w:r>
      <w:r w:rsidR="00091CB7">
        <w:rPr>
          <w:szCs w:val="19"/>
          <w:lang w:val="es-ES"/>
        </w:rPr>
        <w:t>T</w:t>
      </w:r>
      <w:r>
        <w:rPr>
          <w:szCs w:val="19"/>
          <w:lang w:val="es-ES"/>
        </w:rPr>
        <w:t>e gustaría saber qué es lo que pasa al otro lado del muro?</w:t>
      </w:r>
    </w:p>
    <w:p w:rsidR="009A53C2" w:rsidRDefault="009A53C2">
      <w:pPr>
        <w:autoSpaceDE w:val="0"/>
        <w:autoSpaceDN w:val="0"/>
        <w:adjustRightInd w:val="0"/>
        <w:jc w:val="both"/>
        <w:rPr>
          <w:szCs w:val="19"/>
          <w:lang w:val="es-ES"/>
        </w:rPr>
      </w:pPr>
      <w:r>
        <w:rPr>
          <w:szCs w:val="19"/>
          <w:lang w:val="es-ES"/>
        </w:rPr>
        <w:t xml:space="preserve">7. ¿Qué pasa cuando </w:t>
      </w:r>
      <w:proofErr w:type="spellStart"/>
      <w:r>
        <w:rPr>
          <w:szCs w:val="19"/>
          <w:lang w:val="es-ES"/>
        </w:rPr>
        <w:t>Puk</w:t>
      </w:r>
      <w:proofErr w:type="spellEnd"/>
      <w:r>
        <w:rPr>
          <w:szCs w:val="19"/>
          <w:lang w:val="es-ES"/>
        </w:rPr>
        <w:t xml:space="preserve"> descubre que al otro lado del muro hay una niña?</w:t>
      </w:r>
    </w:p>
    <w:p w:rsidR="009A53C2" w:rsidRDefault="009A53C2">
      <w:pPr>
        <w:autoSpaceDE w:val="0"/>
        <w:autoSpaceDN w:val="0"/>
        <w:adjustRightInd w:val="0"/>
        <w:jc w:val="both"/>
        <w:rPr>
          <w:szCs w:val="19"/>
          <w:lang w:val="es-ES"/>
        </w:rPr>
      </w:pPr>
      <w:r>
        <w:rPr>
          <w:szCs w:val="19"/>
          <w:lang w:val="es-ES"/>
        </w:rPr>
        <w:t>8. En el muro aparece dibujado un corazón, ¿</w:t>
      </w:r>
      <w:r w:rsidR="00091CB7">
        <w:rPr>
          <w:szCs w:val="19"/>
          <w:lang w:val="es-ES"/>
        </w:rPr>
        <w:t>Q</w:t>
      </w:r>
      <w:r>
        <w:rPr>
          <w:szCs w:val="19"/>
          <w:lang w:val="es-ES"/>
        </w:rPr>
        <w:t>ué significados puede tener?</w:t>
      </w:r>
    </w:p>
    <w:p w:rsidR="009A53C2" w:rsidRDefault="009A53C2">
      <w:pPr>
        <w:autoSpaceDE w:val="0"/>
        <w:autoSpaceDN w:val="0"/>
        <w:adjustRightInd w:val="0"/>
        <w:jc w:val="both"/>
        <w:rPr>
          <w:szCs w:val="19"/>
          <w:lang w:val="es-ES"/>
        </w:rPr>
      </w:pPr>
      <w:r>
        <w:rPr>
          <w:szCs w:val="19"/>
          <w:lang w:val="es-ES"/>
        </w:rPr>
        <w:t>9. ¿Cómo se consigue derribar el muro?</w:t>
      </w:r>
    </w:p>
    <w:p w:rsidR="009A53C2" w:rsidRDefault="009A53C2">
      <w:pPr>
        <w:autoSpaceDE w:val="0"/>
        <w:autoSpaceDN w:val="0"/>
        <w:adjustRightInd w:val="0"/>
        <w:jc w:val="both"/>
        <w:rPr>
          <w:szCs w:val="19"/>
          <w:lang w:val="es-ES"/>
        </w:rPr>
      </w:pPr>
      <w:r>
        <w:rPr>
          <w:szCs w:val="19"/>
          <w:lang w:val="es-ES"/>
        </w:rPr>
        <w:t>10. ¿Te gustaría que en la escuela hubiera un muro que separara a los niños mayores de los pequeños y que nunca pudiésemos hablar unos con otros?</w:t>
      </w:r>
    </w:p>
    <w:p w:rsidR="009A53C2" w:rsidRDefault="009A53C2">
      <w:pPr>
        <w:autoSpaceDE w:val="0"/>
        <w:autoSpaceDN w:val="0"/>
        <w:adjustRightInd w:val="0"/>
        <w:jc w:val="both"/>
        <w:rPr>
          <w:szCs w:val="19"/>
          <w:lang w:val="es-ES"/>
        </w:rPr>
      </w:pPr>
      <w:r>
        <w:rPr>
          <w:szCs w:val="19"/>
          <w:lang w:val="es-ES"/>
        </w:rPr>
        <w:t>11. ¿Crees que a veces, entre las personas, surge una separación como si hubiese un muro? ¿Conoces alguna situación en la vida real que se parezca a la que narra la historia?</w:t>
      </w:r>
    </w:p>
    <w:p w:rsidR="009A53C2" w:rsidRDefault="009A53C2">
      <w:pPr>
        <w:autoSpaceDE w:val="0"/>
        <w:autoSpaceDN w:val="0"/>
        <w:adjustRightInd w:val="0"/>
        <w:jc w:val="both"/>
        <w:rPr>
          <w:szCs w:val="19"/>
          <w:lang w:val="es-ES"/>
        </w:rPr>
      </w:pPr>
      <w:r>
        <w:rPr>
          <w:szCs w:val="19"/>
          <w:lang w:val="es-ES"/>
        </w:rPr>
        <w:t>12. ¿Qué se te ocurre que podríamos hacer para derribar “el muro en la vida real”?</w:t>
      </w:r>
    </w:p>
    <w:p w:rsidR="009A53C2" w:rsidRDefault="009A53C2">
      <w:pPr>
        <w:autoSpaceDE w:val="0"/>
        <w:autoSpaceDN w:val="0"/>
        <w:adjustRightInd w:val="0"/>
        <w:jc w:val="both"/>
        <w:rPr>
          <w:i/>
          <w:iCs/>
          <w:szCs w:val="16"/>
          <w:lang w:val="es-ES"/>
        </w:rPr>
      </w:pPr>
      <w:r>
        <w:rPr>
          <w:i/>
          <w:iCs/>
          <w:szCs w:val="16"/>
          <w:lang w:val="es-ES"/>
        </w:rPr>
        <w:t xml:space="preserve">El </w:t>
      </w:r>
      <w:r w:rsidR="00091CB7">
        <w:rPr>
          <w:i/>
          <w:iCs/>
          <w:szCs w:val="16"/>
          <w:lang w:val="es-ES"/>
        </w:rPr>
        <w:t>tutor deberá orientará al</w:t>
      </w:r>
      <w:r>
        <w:rPr>
          <w:i/>
          <w:iCs/>
          <w:szCs w:val="16"/>
          <w:lang w:val="es-ES"/>
        </w:rPr>
        <w:t xml:space="preserve"> </w:t>
      </w:r>
      <w:r w:rsidR="00091CB7">
        <w:rPr>
          <w:i/>
          <w:iCs/>
          <w:szCs w:val="16"/>
          <w:lang w:val="es-ES"/>
        </w:rPr>
        <w:t>alum</w:t>
      </w:r>
      <w:r>
        <w:rPr>
          <w:i/>
          <w:iCs/>
          <w:szCs w:val="16"/>
          <w:lang w:val="es-ES"/>
        </w:rPr>
        <w:t>na</w:t>
      </w:r>
      <w:r w:rsidR="00091CB7">
        <w:rPr>
          <w:i/>
          <w:iCs/>
          <w:szCs w:val="16"/>
          <w:lang w:val="es-ES"/>
        </w:rPr>
        <w:t>do</w:t>
      </w:r>
      <w:r>
        <w:rPr>
          <w:i/>
          <w:iCs/>
          <w:szCs w:val="16"/>
          <w:lang w:val="es-ES"/>
        </w:rPr>
        <w:t xml:space="preserve"> para que vayan conociendo, y si es posible ejerciendo, las vías democráticas existentes para actuar como ciudadanos críticos y responsables: escribir a los responsables políticos o al defensor del pueblo planteándoles la situación, acudir a las asociaciones vecinales y aportar allí sus propuestas, realizar </w:t>
      </w:r>
      <w:r>
        <w:rPr>
          <w:i/>
          <w:iCs/>
          <w:szCs w:val="16"/>
          <w:lang w:val="es-ES"/>
        </w:rPr>
        <w:lastRenderedPageBreak/>
        <w:t>actividades lúdicas (teatro, juegos…) que hagan reflexionar sobre el problema o las posibles soluciones….</w:t>
      </w:r>
    </w:p>
    <w:p w:rsidR="009A53C2" w:rsidRDefault="009A53C2">
      <w:pPr>
        <w:autoSpaceDE w:val="0"/>
        <w:autoSpaceDN w:val="0"/>
        <w:adjustRightInd w:val="0"/>
        <w:jc w:val="both"/>
        <w:rPr>
          <w:b/>
          <w:bCs/>
          <w:szCs w:val="22"/>
          <w:lang w:val="es-ES"/>
        </w:rPr>
      </w:pPr>
    </w:p>
    <w:p w:rsidR="009A53C2" w:rsidRDefault="009A53C2">
      <w:pPr>
        <w:autoSpaceDE w:val="0"/>
        <w:autoSpaceDN w:val="0"/>
        <w:adjustRightInd w:val="0"/>
        <w:jc w:val="both"/>
        <w:rPr>
          <w:b/>
          <w:bCs/>
          <w:szCs w:val="22"/>
          <w:lang w:val="es-ES"/>
        </w:rPr>
      </w:pPr>
      <w:r>
        <w:rPr>
          <w:b/>
          <w:bCs/>
          <w:szCs w:val="22"/>
          <w:lang w:val="es-ES"/>
        </w:rPr>
        <w:t>2. Debate y preparación del acto simbólico</w:t>
      </w:r>
    </w:p>
    <w:p w:rsidR="009A53C2" w:rsidRDefault="009A53C2">
      <w:pPr>
        <w:autoSpaceDE w:val="0"/>
        <w:autoSpaceDN w:val="0"/>
        <w:adjustRightInd w:val="0"/>
        <w:jc w:val="both"/>
        <w:rPr>
          <w:szCs w:val="19"/>
          <w:lang w:val="es-ES"/>
        </w:rPr>
      </w:pPr>
      <w:r>
        <w:rPr>
          <w:szCs w:val="19"/>
          <w:lang w:val="es-ES"/>
        </w:rPr>
        <w:t>El debate final podría destacar dos aspectos de la historia:</w:t>
      </w:r>
    </w:p>
    <w:p w:rsidR="009A53C2" w:rsidRDefault="009A53C2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Cs w:val="19"/>
          <w:lang w:val="es-ES"/>
        </w:rPr>
      </w:pPr>
      <w:r>
        <w:rPr>
          <w:szCs w:val="19"/>
          <w:lang w:val="es-ES"/>
        </w:rPr>
        <w:t xml:space="preserve">En primer lugar, la </w:t>
      </w:r>
      <w:r>
        <w:rPr>
          <w:b/>
          <w:bCs/>
          <w:szCs w:val="19"/>
          <w:lang w:val="es-ES"/>
        </w:rPr>
        <w:t xml:space="preserve">actitud de los gobernantes </w:t>
      </w:r>
      <w:r>
        <w:rPr>
          <w:szCs w:val="19"/>
          <w:lang w:val="es-ES"/>
        </w:rPr>
        <w:t>que, actuando por miedo o por intereses contrarios a la paz, obstaculizan una convivencia pacífica y refuerzan el miedo y la ignorancia.</w:t>
      </w:r>
    </w:p>
    <w:p w:rsidR="009A53C2" w:rsidRPr="00A467C2" w:rsidRDefault="009A53C2" w:rsidP="00A467C2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b/>
          <w:bCs/>
          <w:sz w:val="19"/>
          <w:szCs w:val="19"/>
          <w:lang w:val="es-ES"/>
        </w:rPr>
      </w:pPr>
      <w:r>
        <w:rPr>
          <w:szCs w:val="19"/>
          <w:lang w:val="es-ES"/>
        </w:rPr>
        <w:t xml:space="preserve">Mostrar que en el mundo actual existen muchos “muros” que impiden la construcción de un mundo más pacífico (conflictos olvidados, situaciones de </w:t>
      </w:r>
      <w:r w:rsidR="00E914E6">
        <w:rPr>
          <w:szCs w:val="19"/>
          <w:lang w:val="es-ES"/>
        </w:rPr>
        <w:t>injusticia...</w:t>
      </w:r>
      <w:r>
        <w:rPr>
          <w:szCs w:val="19"/>
          <w:lang w:val="es-ES"/>
        </w:rPr>
        <w:t>)</w:t>
      </w:r>
      <w:r w:rsidR="00A467C2">
        <w:rPr>
          <w:szCs w:val="19"/>
          <w:lang w:val="es-ES"/>
        </w:rPr>
        <w:t>, pero también entre nosotros</w:t>
      </w:r>
      <w:r>
        <w:rPr>
          <w:szCs w:val="19"/>
          <w:lang w:val="es-ES"/>
        </w:rPr>
        <w:t xml:space="preserve">. </w:t>
      </w:r>
      <w:r w:rsidR="00A467C2">
        <w:rPr>
          <w:szCs w:val="19"/>
          <w:lang w:val="es-ES"/>
        </w:rPr>
        <w:t>Para construir la paz contigo tengo que derribar unos cuantos muros, pensad cuáles.</w:t>
      </w:r>
    </w:p>
    <w:p w:rsidR="00A467C2" w:rsidRDefault="00A467C2" w:rsidP="00A467C2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b/>
          <w:bCs/>
          <w:sz w:val="19"/>
          <w:szCs w:val="19"/>
          <w:lang w:val="es-ES"/>
        </w:rPr>
      </w:pPr>
      <w:r>
        <w:t>Una vez recogidas las ideas escribidlas, pueden ser palabras o frases, o dibujadlas en papel. Estos papeles se utilizarán para forrar los tetrabriks con los que se construirá el muro en el acto simbólico del DENYP (ver documento “</w:t>
      </w:r>
      <w:r w:rsidRPr="00400091">
        <w:t xml:space="preserve">1. </w:t>
      </w:r>
      <w:proofErr w:type="spellStart"/>
      <w:r w:rsidRPr="00400091">
        <w:t>laPaz_contigo</w:t>
      </w:r>
      <w:proofErr w:type="spellEnd"/>
      <w:r>
        <w:t>”).</w:t>
      </w:r>
    </w:p>
    <w:p w:rsidR="009A53C2" w:rsidRDefault="009A53C2">
      <w:pPr>
        <w:autoSpaceDE w:val="0"/>
        <w:autoSpaceDN w:val="0"/>
        <w:adjustRightInd w:val="0"/>
        <w:jc w:val="both"/>
        <w:rPr>
          <w:lang w:val="es-ES"/>
        </w:rPr>
      </w:pPr>
      <w:r>
        <w:rPr>
          <w:sz w:val="19"/>
          <w:szCs w:val="19"/>
          <w:lang w:val="es-ES"/>
        </w:rPr>
        <w:t xml:space="preserve"> </w:t>
      </w:r>
    </w:p>
    <w:sectPr w:rsidR="009A53C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DC" w:rsidRDefault="00D62CDC">
      <w:r>
        <w:separator/>
      </w:r>
    </w:p>
  </w:endnote>
  <w:endnote w:type="continuationSeparator" w:id="0">
    <w:p w:rsidR="00D62CDC" w:rsidRDefault="00D6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3C2" w:rsidRDefault="00091CB7">
    <w:pPr>
      <w:pStyle w:val="Piedepgina"/>
      <w:jc w:val="right"/>
    </w:pPr>
    <w:r>
      <w:t>1º-2º</w:t>
    </w:r>
    <w:r w:rsidR="009A53C2">
      <w:t xml:space="preserve"> </w:t>
    </w:r>
    <w:r>
      <w:t>SECUNDARIA</w:t>
    </w:r>
    <w:r w:rsidR="009A53C2">
      <w:t xml:space="preserve">                                                       </w:t>
    </w:r>
    <w:r w:rsidR="009A53C2">
      <w:rPr>
        <w:rStyle w:val="Nmerodepgina"/>
      </w:rPr>
      <w:fldChar w:fldCharType="begin"/>
    </w:r>
    <w:r w:rsidR="009A53C2">
      <w:rPr>
        <w:rStyle w:val="Nmerodepgina"/>
      </w:rPr>
      <w:instrText xml:space="preserve"> PAGE </w:instrText>
    </w:r>
    <w:r w:rsidR="009A53C2">
      <w:rPr>
        <w:rStyle w:val="Nmerodepgina"/>
      </w:rPr>
      <w:fldChar w:fldCharType="separate"/>
    </w:r>
    <w:r w:rsidR="007C4C48">
      <w:rPr>
        <w:rStyle w:val="Nmerodepgina"/>
        <w:noProof/>
      </w:rPr>
      <w:t>1</w:t>
    </w:r>
    <w:r w:rsidR="009A53C2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DC" w:rsidRDefault="00D62CDC">
      <w:r>
        <w:separator/>
      </w:r>
    </w:p>
  </w:footnote>
  <w:footnote w:type="continuationSeparator" w:id="0">
    <w:p w:rsidR="00D62CDC" w:rsidRDefault="00D62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E6" w:rsidRDefault="00D62CDC" w:rsidP="00E914E6">
    <w:pPr>
      <w:pStyle w:val="Encabezado"/>
      <w:tabs>
        <w:tab w:val="clear" w:pos="4252"/>
        <w:tab w:val="left" w:pos="5954"/>
      </w:tabs>
      <w:ind w:right="-568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1" o:spid="_x0000_s2050" type="#_x0000_t75" style="position:absolute;left:0;text-align:left;margin-left:384.5pt;margin-top:-14.9pt;width:49.8pt;height:60pt;z-index:1;visibility:visible">
          <v:imagedata r:id="rId1" o:title=""/>
          <w10:wrap type="square"/>
        </v:shape>
      </w:pict>
    </w:r>
    <w:r w:rsidR="00E914E6">
      <w:t xml:space="preserve">Colegios Capuchinos de España </w:t>
    </w:r>
  </w:p>
  <w:p w:rsidR="00E914E6" w:rsidRDefault="00E914E6" w:rsidP="00E914E6">
    <w:pPr>
      <w:pStyle w:val="Encabezado"/>
      <w:tabs>
        <w:tab w:val="clear" w:pos="4252"/>
        <w:tab w:val="left" w:pos="5954"/>
      </w:tabs>
      <w:ind w:right="-568"/>
      <w:jc w:val="center"/>
    </w:pPr>
    <w:r>
      <w:t>30.enero.201</w:t>
    </w:r>
    <w:r w:rsidR="00091CB7">
      <w:t>7</w:t>
    </w:r>
  </w:p>
  <w:p w:rsidR="00E914E6" w:rsidRDefault="00E914E6" w:rsidP="00E914E6">
    <w:pPr>
      <w:pStyle w:val="Encabezado"/>
      <w:jc w:val="center"/>
    </w:pPr>
    <w:r>
      <w:t xml:space="preserve">Día Escolar por </w:t>
    </w:r>
    <w:smartTag w:uri="urn:schemas-microsoft-com:office:smarttags" w:element="PersonName">
      <w:smartTagPr>
        <w:attr w:name="ProductID" w:val="la No-violencia Y"/>
      </w:smartTagPr>
      <w:r>
        <w:t>la NO-VIOLENCIA Y</w:t>
      </w:r>
    </w:smartTag>
    <w:r>
      <w:t xml:space="preserve"> </w:t>
    </w:r>
    <w:smartTag w:uri="urn:schemas-microsoft-com:office:smarttags" w:element="PersonName">
      <w:smartTagPr>
        <w:attr w:name="ProductID" w:val="la Paz"/>
      </w:smartTagPr>
      <w:r>
        <w:t>la PAZ</w:t>
      </w:r>
    </w:smartTag>
    <w:r>
      <w:t xml:space="preserve"> </w:t>
    </w:r>
  </w:p>
  <w:p w:rsidR="009A53C2" w:rsidRPr="00E914E6" w:rsidRDefault="009A53C2" w:rsidP="00E914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9B4"/>
    <w:multiLevelType w:val="hybridMultilevel"/>
    <w:tmpl w:val="D1D68182"/>
    <w:lvl w:ilvl="0" w:tplc="57D61744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8"/>
      </w:rPr>
    </w:lvl>
    <w:lvl w:ilvl="1" w:tplc="57D61744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11CD8"/>
    <w:multiLevelType w:val="hybridMultilevel"/>
    <w:tmpl w:val="A08C941E"/>
    <w:lvl w:ilvl="0" w:tplc="57D61744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C2BDB"/>
    <w:multiLevelType w:val="hybridMultilevel"/>
    <w:tmpl w:val="BA388D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787572"/>
    <w:multiLevelType w:val="hybridMultilevel"/>
    <w:tmpl w:val="B3069A62"/>
    <w:lvl w:ilvl="0" w:tplc="C6D0A7F2"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cs="Times New Roman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C6C09"/>
    <w:multiLevelType w:val="hybridMultilevel"/>
    <w:tmpl w:val="D9CC2290"/>
    <w:lvl w:ilvl="0" w:tplc="C6D0A7F2"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cs="Times New Roman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E0010"/>
    <w:multiLevelType w:val="hybridMultilevel"/>
    <w:tmpl w:val="2460D9E8"/>
    <w:lvl w:ilvl="0" w:tplc="AE5C7E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257"/>
    <w:rsid w:val="00000584"/>
    <w:rsid w:val="00091CB7"/>
    <w:rsid w:val="003A32ED"/>
    <w:rsid w:val="007C4C48"/>
    <w:rsid w:val="00944E2F"/>
    <w:rsid w:val="009A53C2"/>
    <w:rsid w:val="00A467C2"/>
    <w:rsid w:val="00D62CDC"/>
    <w:rsid w:val="00E914E6"/>
    <w:rsid w:val="00EA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2AB22668"/>
  <w15:chartTrackingRefBased/>
  <w15:docId w15:val="{5280BBB8-5F29-4358-9536-B6F23355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radeGothic-Bold" w:hAnsi="TradeGothic-Bold"/>
      <w:b/>
      <w:bCs/>
      <w:color w:val="000000"/>
      <w:sz w:val="40"/>
      <w:szCs w:val="40"/>
      <w:lang w:val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i/>
      <w:color w:val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autoSpaceDE w:val="0"/>
      <w:autoSpaceDN w:val="0"/>
      <w:adjustRightInd w:val="0"/>
    </w:pPr>
    <w:rPr>
      <w:rFonts w:ascii="TradeGothic" w:hAnsi="TradeGothic"/>
      <w:color w:val="000000"/>
      <w:sz w:val="19"/>
      <w:szCs w:val="19"/>
      <w:lang w:val="es-ES"/>
    </w:rPr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tulo">
    <w:name w:val="Title"/>
    <w:basedOn w:val="Normal"/>
    <w:qFormat/>
    <w:pPr>
      <w:jc w:val="center"/>
    </w:pPr>
    <w:rPr>
      <w:sz w:val="32"/>
    </w:rPr>
  </w:style>
  <w:style w:type="character" w:customStyle="1" w:styleId="EncabezadoCar">
    <w:name w:val="Encabezado Car"/>
    <w:link w:val="Encabezado"/>
    <w:semiHidden/>
    <w:rsid w:val="00E914E6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</dc:creator>
  <cp:keywords/>
  <cp:lastModifiedBy>Mila</cp:lastModifiedBy>
  <cp:revision>5</cp:revision>
  <dcterms:created xsi:type="dcterms:W3CDTF">2016-10-25T22:43:00Z</dcterms:created>
  <dcterms:modified xsi:type="dcterms:W3CDTF">2016-10-26T23:52:00Z</dcterms:modified>
</cp:coreProperties>
</file>